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D6BE" w14:textId="3D0C38B0" w:rsidR="0002742B" w:rsidRDefault="00CB4994">
      <w:r>
        <w:t>Javna ustanova za upravljanje sportskim objektima Zadarski sport objavila je obavijest o prethodnom savjetovanju sa gospodarskim subjektima u EON-u.</w:t>
      </w:r>
      <w:r>
        <w:br/>
      </w:r>
      <w:r>
        <w:br/>
        <w:t>https://eojn.hr/prior-consultation-ca/74863</w:t>
      </w:r>
    </w:p>
    <w:sectPr w:rsidR="00027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94"/>
    <w:rsid w:val="0002742B"/>
    <w:rsid w:val="004B7673"/>
    <w:rsid w:val="006C0245"/>
    <w:rsid w:val="00975C15"/>
    <w:rsid w:val="00C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5AC5"/>
  <w15:chartTrackingRefBased/>
  <w15:docId w15:val="{89C8A501-702D-4A06-8AAD-8C83A872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9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9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9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9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9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9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9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2026-02-20T13:35:00Z</dcterms:created>
  <dcterms:modified xsi:type="dcterms:W3CDTF">2026-02-20T13:39:00Z</dcterms:modified>
</cp:coreProperties>
</file>